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FIRAT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UNIVERSITY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FACULTY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OF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HUMANITIES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AND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SOCIAL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SCIENCES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HISTORY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DEPARTMENT</w:t>
      </w:r>
      <w:proofErr w:type="spellEnd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 xml:space="preserve"> COURSE </w:t>
      </w:r>
      <w:proofErr w:type="spellStart"/>
      <w:r w:rsidRPr="007D00B0">
        <w:rPr>
          <w:rFonts w:ascii="Times New Roman" w:hAnsi="Times New Roman" w:cs="Times New Roman"/>
          <w:b/>
          <w:bCs/>
          <w:color w:val="404041"/>
          <w:sz w:val="28"/>
          <w:szCs w:val="28"/>
        </w:rPr>
        <w:t>CONTENTS</w:t>
      </w:r>
      <w:proofErr w:type="spellEnd"/>
    </w:p>
    <w:p w:rsidR="00EB3106" w:rsidRPr="007D00B0" w:rsidRDefault="00EB3106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EB3106" w:rsidRPr="007D00B0" w:rsidRDefault="007D00B0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HIST101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-102 Ancient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emergence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on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earth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geography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Anatolia,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Palaeolithic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age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Mesolithic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age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Neolithic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age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Chalcolithic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age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Bronze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Age,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Assyrian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Trade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Colonies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period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Anatolian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peoples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before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Hittites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Hittites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Aegean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migrations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Young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Hittite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Principalities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Urartians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Phrygians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Lydians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Persian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rule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in Anatolia,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Greek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City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States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in Western Anatolia,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Hellenistic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period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in Anatolia,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Mesopotamia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Egypt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Greece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Introduction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to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Roman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Scythians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Credit:2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Akts:3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) </w:t>
      </w:r>
      <w:proofErr w:type="gramEnd"/>
    </w:p>
    <w:p w:rsidR="007D00B0" w:rsidRPr="007D00B0" w:rsidRDefault="007D00B0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103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-104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Central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Asia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I-11: Ancient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Regions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in Central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Asia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Scythians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Huns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Turks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1st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2nd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Turks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),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Uighurs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Karluks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Khazars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Turgish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their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acceptance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Islam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Turks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Kyrgyz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Bulgarians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Karakhanids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Ghaznavids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>: 3)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105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-106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Islamic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belief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structures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Arabs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before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emergence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Islam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situation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known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world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emergence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Islam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Prophet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Four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Caliphs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(Hz. Ebubekir, Hz. Ömer, Hz. Osman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Hz. Ali)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Periods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mili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events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>: 3)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107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-108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Ancient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1-11: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administration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belief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structures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legal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mili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systems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structures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Greek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Roman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Byzantine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civilisations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civilisations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established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in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Egypt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Iran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Anatolia (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>: 3)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5F"/>
          <w:sz w:val="24"/>
          <w:szCs w:val="24"/>
        </w:rPr>
      </w:pPr>
    </w:p>
    <w:p w:rsidR="00EB3106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113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-114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Islamic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administration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legal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system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belief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structure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family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life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institutions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security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mili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5E5F5F"/>
          <w:sz w:val="24"/>
          <w:szCs w:val="24"/>
        </w:rPr>
        <w:t>y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organisation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Beytülmal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Hajj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emirate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in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pre-Islamic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Prophet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Four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Caliph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Periods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Credit:2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5E5F5F"/>
          <w:sz w:val="24"/>
          <w:szCs w:val="24"/>
        </w:rPr>
        <w:t>Akts:3</w:t>
      </w:r>
      <w:proofErr w:type="spellEnd"/>
      <w:r w:rsidRPr="007D00B0">
        <w:rPr>
          <w:rFonts w:ascii="Times New Roman" w:hAnsi="Times New Roman" w:cs="Times New Roman"/>
          <w:color w:val="5E5F5F"/>
          <w:sz w:val="24"/>
          <w:szCs w:val="24"/>
        </w:rPr>
        <w:t>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117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-118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Grammar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1-11: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Giving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general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information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about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alphabet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basic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grammar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spelling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rules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Arabic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Persian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elements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transcription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rules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doing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exercises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related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to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them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: 3)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131-132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Texts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: Reading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printed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texts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text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writing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exercises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their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analysis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teaching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use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dictionary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.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133-134 Ancient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Source Information: Definition,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boundaries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importance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ancient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;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archaeological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excavation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reports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finds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written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documents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laws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epics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: 2).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135-136 General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Source Information I-II: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Classification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introduction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analysis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General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issues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General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use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life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scientific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personalities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works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scientists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such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as Prof. Dr. Bahaeddin Ögel, Prof. Dr. Osman Turan, Prof. Dr. İbrahim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Kafesoğlu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Prof. Dr. Hikmet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Tanyu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;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Orkhun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Abideleri, Kutadgu Bilig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Divan-ı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Lugat'i't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-Türk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their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authors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.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</w:p>
    <w:p w:rsidR="00EB3106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201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-202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Islamic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III-IV: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establishment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development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collapse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Umayyad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Abbasid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Andalusian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Umayyad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states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Tolonogullari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Ishshitler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states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, legal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organisations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bCs/>
          <w:color w:val="616162"/>
          <w:sz w:val="24"/>
          <w:szCs w:val="24"/>
        </w:rPr>
        <w:t>: 3)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616162"/>
          <w:sz w:val="24"/>
          <w:szCs w:val="24"/>
        </w:rPr>
        <w:lastRenderedPageBreak/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205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-206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Oghuzs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Oghuz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Yabgu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Bey,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relations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with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Samanids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Ghaznavids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Qarakhanids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foundation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Great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(Tuğrul Bey, Alparslan, Melikşah,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Berkyanık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Muhammed Tapar, Sultan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Mahmud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Sultan Sencer) Kirman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Iraqi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Syrian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Turkey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,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relations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with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Byzantium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Crusaders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)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Turkey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relations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with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Mongols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fall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Turkey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3)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207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-208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Medieval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European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Geography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Europe, an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overview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Europe in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Antiquity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ethnic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religious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situation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Europe,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establishment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development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collapse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periods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Roman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Empire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structure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post-Roman Europe,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Carolingian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Empire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Vandals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Ostrogoths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Visigoths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Byzantine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Crusades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Andalusian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Umayyads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life in Europe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3)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EB3106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209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-210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Methodology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Definition,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purpose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benefit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auxiliary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sciences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methodological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relationship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with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other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sciences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methods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sciences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philosophical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views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views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criticism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determination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research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subject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collection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bibliography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scanning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gushing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making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a plan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creating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table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contents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footnoting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procedures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bibliography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writing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use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appendices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conclusion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writing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3)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211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-214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Ottoman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Palaeography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Arabic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grammar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rules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methods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reading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understanding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texts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texts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Arabic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verses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giving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basic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information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about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handwriting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reading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some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sample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handwritten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texts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3)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215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-216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I-II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Elective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) 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organisation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country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administration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land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administration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religious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life,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Yassawism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Mevlevism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Bektashism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education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training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institutions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fine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architecture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Great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Turkey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Seljuk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2)</w:t>
      </w:r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EB3106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r w:rsidRPr="007D00B0">
        <w:rPr>
          <w:rFonts w:ascii="Times New Roman" w:hAnsi="Times New Roman" w:cs="Times New Roman"/>
          <w:color w:val="616162"/>
          <w:sz w:val="24"/>
          <w:szCs w:val="24"/>
        </w:rPr>
        <w:t>213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-220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I-II: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Concepts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characteristics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nations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sources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values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that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make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up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nation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Steppe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animal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life,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religion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belief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Kutadgu Bilig,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epics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Dede Korkut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stories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understanding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sovereignty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sovereignty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in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land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country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management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customs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traditions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architecture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art,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literature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science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reflections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similar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features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to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present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day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: 3)</w:t>
      </w:r>
      <w:proofErr w:type="gramEnd"/>
    </w:p>
    <w:p w:rsidR="007D00B0" w:rsidRPr="007D00B0" w:rsidRDefault="007D00B0" w:rsidP="007D0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EB3106" w:rsidRPr="007D00B0" w:rsidRDefault="007D00B0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5253"/>
          <w:sz w:val="24"/>
          <w:szCs w:val="24"/>
        </w:rPr>
      </w:pPr>
      <w:proofErr w:type="spellStart"/>
      <w:proofErr w:type="gram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HIST219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Timur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Elective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) 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life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emergence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Timur,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establishment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Timur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Timur's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campaigns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results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post-Timur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developments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country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administration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in Timur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army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Credit:2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Akts:2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)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225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the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First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Muslim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Political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history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culture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civilisation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social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economic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administrative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situation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of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Tolunids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Aqshids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Ihshids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Idyll-Bulgarian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Turkish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State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Saçoğulları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Karahanids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and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Ghaznavids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 (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Credit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 xml:space="preserve">: 2, </w:t>
      </w:r>
      <w:proofErr w:type="spellStart"/>
      <w:r w:rsidRPr="007D00B0">
        <w:rPr>
          <w:rFonts w:ascii="Times New Roman" w:hAnsi="Times New Roman" w:cs="Times New Roman"/>
          <w:color w:val="616162"/>
          <w:sz w:val="24"/>
          <w:szCs w:val="24"/>
        </w:rPr>
        <w:t>Akts:2</w:t>
      </w:r>
      <w:proofErr w:type="spellEnd"/>
      <w:r w:rsidRPr="007D00B0">
        <w:rPr>
          <w:rFonts w:ascii="Times New Roman" w:hAnsi="Times New Roman" w:cs="Times New Roman"/>
          <w:color w:val="616162"/>
          <w:sz w:val="24"/>
          <w:szCs w:val="24"/>
        </w:rPr>
        <w:t>).</w:t>
      </w:r>
      <w:proofErr w:type="gramEnd"/>
    </w:p>
    <w:p w:rsidR="00EB3106" w:rsidRPr="007D00B0" w:rsidRDefault="00EB3106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5253"/>
          <w:sz w:val="24"/>
          <w:szCs w:val="24"/>
        </w:rPr>
      </w:pPr>
    </w:p>
    <w:p w:rsidR="00EB3106" w:rsidRPr="007D00B0" w:rsidRDefault="00EB3106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EB3106" w:rsidRPr="007D00B0" w:rsidRDefault="00EB3106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p w:rsidR="00EB3106" w:rsidRPr="007D00B0" w:rsidRDefault="00EB3106" w:rsidP="00EB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16162"/>
          <w:sz w:val="24"/>
          <w:szCs w:val="24"/>
        </w:rPr>
      </w:pPr>
    </w:p>
    <w:sectPr w:rsidR="00EB3106" w:rsidRPr="007D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8E"/>
    <w:rsid w:val="000F6400"/>
    <w:rsid w:val="006D5B85"/>
    <w:rsid w:val="007D00B0"/>
    <w:rsid w:val="00A12A8E"/>
    <w:rsid w:val="00EB3106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F36B"/>
  <w15:chartTrackingRefBased/>
  <w15:docId w15:val="{873E4CDF-DEB4-4E2F-BDBB-CA9F238E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YEKTA ÖZER</dc:creator>
  <cp:keywords/>
  <dc:description/>
  <cp:lastModifiedBy>BERKAY YEKTA ÖZER</cp:lastModifiedBy>
  <cp:revision>3</cp:revision>
  <dcterms:created xsi:type="dcterms:W3CDTF">2025-01-26T20:27:00Z</dcterms:created>
  <dcterms:modified xsi:type="dcterms:W3CDTF">2025-01-26T20:37:00Z</dcterms:modified>
</cp:coreProperties>
</file>